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УДК 37</w:t>
      </w:r>
    </w:p>
    <w:p>
      <w:pPr>
        <w:pStyle w:val="Normal"/>
        <w:spacing w:lineRule="auto" w:line="36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И.В.Савочкина</w:t>
      </w:r>
    </w:p>
    <w:p>
      <w:pPr>
        <w:pStyle w:val="Normal"/>
        <w:spacing w:lineRule="auto" w:line="36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кафедры русского языка и естественных дисциплин</w:t>
      </w:r>
    </w:p>
    <w:p>
      <w:pPr>
        <w:pStyle w:val="Normal"/>
        <w:spacing w:lineRule="auto" w:line="36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Белгородский государственный технологический университет им. В.Г.Шухова</w:t>
      </w:r>
    </w:p>
    <w:p>
      <w:pPr>
        <w:pStyle w:val="Normal"/>
        <w:spacing w:lineRule="auto" w:line="36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г. Белгород, Российская Федерация</w:t>
      </w:r>
    </w:p>
    <w:p>
      <w:pPr>
        <w:pStyle w:val="Normal"/>
        <w:spacing w:lineRule="auto" w:line="360"/>
        <w:ind w:left="0" w:right="0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УЧЕБНЫХ КОМПЬЮТЕРНЫХ ИГР В ПЕДАГОГИЧЕСКОЙ АДАПТАЦИИ ИНОСТРАННЫХ СТУДЕНТОВ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Переезд на постоянное место жительства в другую страну, несомненно, сопровождается определенным стрессом. И с этим сталкиваются студенты-иностранцы, приезжающие учиться в Россию. Они попадают не только в новую языковую среду, но и сталкиваются с другой культурой, обычаями, традициями. В новой социокультурной, языковой и национальной среде им необходимо очень быстро адаптироваться. От этого во многом будет зависеть их дальнейшее обучение и жизнь в России. 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адаптации выделяют следующие группы адаптационных проблем: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социокультурная адаптация;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адаптация;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педагогическая адаптация.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Социокультурная адаптация предполагает «вхождение» в иную культуру, освоение новых норм и стереотипов поведения. 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Социально-психологическая адаптация — вступление в систему межличностных отношений. 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адаптация связана с усвоением студентом понятий профессиональной среды, а также приспособлением к характеру и условиям организации учебного процесса. </w:t>
      </w:r>
      <w:r>
        <w:rPr>
          <w:sz w:val="28"/>
          <w:szCs w:val="28"/>
        </w:rPr>
        <w:t>Рядом исследователей педагогический аспект адаптации рассматривается как совокупность особенностей, определяющих возможность приспособления студента к новой системе обучения, усвоению большого объема знаний, анализу научного материала. [2, с. 11]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Преподаватели вузов должны  ускорять процесс социально-психологической педагогической адаптации студентов. </w:t>
      </w:r>
      <w:r>
        <w:rPr>
          <w:sz w:val="28"/>
          <w:szCs w:val="28"/>
        </w:rPr>
        <w:t xml:space="preserve">Традиционные методы обучения здесь могут быть неэффективными, так как они не предполагают активного включения студента в образовательный процесс, не развивают в нем навыков самостоятельной работы. 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В рамках педагогической адаптации иностранных студентов может быть применена технология эдьютейнмент. Особенность данной технологии заключается в том, что обучение и развлечение сливаются воедино, раскрывая ряд преимуществ, одно из которых — повышение мотивации в процессе обучения.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Наш мир уже не мыслим без компьютера и Интернета. Образовательный процесс все более использует в своих целях эти ресурсы. Особая роль отводится учебным компьютерным играм, </w:t>
      </w:r>
      <w:r>
        <w:rPr>
          <w:sz w:val="28"/>
          <w:szCs w:val="28"/>
        </w:rPr>
        <w:t>которые могут быть применены и в качестве компонента технологии эдьютейнмент при обучении русскому языку как иностранному.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Почему же компьютерные игры так популярны и могут быть очень полезны в процессе обучения? Человеческий мозг и система мотивации построена на вознаграждениях. То есть, когда мы получаем удовольствие, происходит выброс в центры удовольствия дофамина, и именно дофамин является побудителем, заставляющим идти вперед, добиваться поставленных целей. </w:t>
      </w:r>
      <w:r>
        <w:rPr>
          <w:sz w:val="28"/>
          <w:szCs w:val="28"/>
        </w:rPr>
        <w:t>Люди играют в игры, потому что они удовлетворяют потребность достигать вершин в какой-либо деятельности, что является нашим базовым инстинктом. Игры помогают людям (и особенно детям) тренировать мозг и испытывать самих себя. Именно поэтому от игры мы получаем удовольствие.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Как эта особенность игровой деятельности связана с образовательным процессо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? Созданная виртуальная реальность способна заинтересовать играющего необычными элементами, что приведет к формированию дальнейше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«нескучно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» обучени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, повысит мотивацию, что в свою очередь скажется на качестве приобретенных знаний. 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Многие компьютерные игры построены по принципу соревнования между игроками или группами игроков. Логика разработчиков ясна: соревновательность, желание быть первым было всегда присуще человеку, являлось и является важнейшим фактором эволюции. В образовательном процессе разработка и применение заданий, ориентированных на командную игру, давно оправдала себя. Используя компьютерные технологии, преподаватель может усилить эффект командной игры.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При создании учебных компьютерных игр возможна апелляция еще к одному базовому человеческому инстинкту — собирательству. В компьютерных играх этот принцип реализуется путем включения в структуру игры таких мелких и, казалось бы, побочных  действий, без которых невозможно достижение конечного результата. А в технологии эдьютейнмент подобный эффект может быть достигнут благодаря небольшим заданиям, направленным на закрепление или повторение материала, а также знакомство с каким-то интересным фактом. Пока ты не вспомнишь пройденный материал или не прочитаешь определенную информацию, ты не сможешь приступить к выполнению следующего задания.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Геймеров, замечали они это или нет, в игре привлекает возможность выбора персонажа или элементов, связанных с его деятельностью. Создатели игр знают, что человек всегда стремится быть независимым, самостоятельно принимать решения. Это общая психологическая черта, свойственная людям всех возрастов и национальностей. Именно поэтому учебная компьютерная игра ориентирована на индивидуальное обучение. Студент может выполнять задания в комфортном для него темпе и, если игра это допускает, самостоятельно определять последовательность усвоения новой информации. 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Монотонная, повторяющаяся деятельность мало кому приносит удовольствие. Именно поэтому компьютерные игры так богаты различными вариантами действий героя. Смена видов деятельности в учебном процессе просто необходима, это доказанный факт. Учебная компьютерная игра способна сделать процесс обучения разнообразным: с одной стороны, кроссворды, квесты, викторины и соревнования, с другой — воссоздание реальной учебной или профессиональной ситуации (лекции, конференции, бизнес-проекты и т. д.).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Играя на компьютере, вы сразу видите свой результат, что вызывает у вас положительные или отрицательные эмоции, но в любом случае заставляет вас идти дальше, совершенствоваться. Элементы контроля и самоконтроля в учебной компьютерной игре позволяют избавиться от стресса перед «живым» контролем.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Но стоит подчеркнуть, что никакая учебная компьютерная игра не способная заменить педагога. Игра должна проходить под незримым контролем преподавателя, быть средством увлекательного обучения, а не пустого развлечения.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Как видим, применение современных образовательных технологий способно ускорить процесс педагогической адаптации иностранных студентов. А разумное применение компьютерных игр, увлечение которыми охватило всю планету, воспитывает в студентах самостоятельность, самоконтроль, формирует устойчивые учебные навыки и дает крепкие знания.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литературы: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hanging="0"/>
        <w:rPr>
          <w:rStyle w:val="Style15"/>
          <w:sz w:val="28"/>
          <w:szCs w:val="28"/>
        </w:rPr>
      </w:pPr>
      <w:r>
        <w:rPr>
          <w:sz w:val="28"/>
          <w:szCs w:val="28"/>
        </w:rPr>
        <w:t xml:space="preserve">Дэвид Вонг. Поймать на крючок по науке. Психологическое обоснование того, почему игры вызывают зависимость. [Электронный ресурс]: </w:t>
      </w:r>
      <w:hyperlink r:id="rId2">
        <w:r>
          <w:rPr>
            <w:rStyle w:val="Style15"/>
            <w:sz w:val="28"/>
            <w:szCs w:val="28"/>
          </w:rPr>
          <w:t>http://lenta.ru/columns/2010/08/11/games/</w:t>
        </w:r>
      </w:hyperlink>
    </w:p>
    <w:p>
      <w:pPr>
        <w:pStyle w:val="Normal"/>
        <w:numPr>
          <w:ilvl w:val="0"/>
          <w:numId w:val="2"/>
        </w:numPr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Ременцов А.Н., Казанцева А.А. Социокультурные аспекты адаптации иностранных студентов // «Alma mater» (Вестник высшей школы).  —  2011. — №7. — с. 10 — 14. 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Антонова В.Б. Психологические особенности адаптации иностранных студентов к условиям жизни и обучения в Москве // Вестник ЦМО МГУ. 1998. № 1. Часть 1.С.13-17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Дорожкин Ю.Н., Мазитова Л.Т. Проблемы социальной адаптации иностранных студентов // Социолог, исслед., 2007. №3. С.73-77.</w:t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hanging="0"/>
        <w:jc w:val="right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©</w:t>
      </w:r>
      <w:r>
        <w:rPr>
          <w:sz w:val="28"/>
          <w:szCs w:val="28"/>
        </w:rPr>
        <w:t xml:space="preserve"> И.В.Савочкина, 2016</w:t>
      </w:r>
    </w:p>
    <w:sectPr>
      <w:type w:val="nextPage"/>
      <w:pgSz w:w="11906" w:h="16838"/>
      <w:pgMar w:left="1125" w:right="113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имвол нумерации"/>
    <w:rPr/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nta.ru/columns/2010/08/11/games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5556</TotalTime>
  <Application>LibreOffice/4.2.6.3$Linux_X86_64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2016-01-06T20:48:33Z</dcterms:created>
  <dc:creator>meow </dc:creator>
  <dc:language>ru-RU</dc:language>
  <cp:lastModifiedBy>meow </cp:lastModifiedBy>
  <dcterms:modified xsi:type="dcterms:W3CDTF">2016-01-08T13:13:20Z</dcterms:modified>
  <cp:revision>16</cp:revision>
</cp:coreProperties>
</file>